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24"/>
          <w:szCs w:val="24"/>
        </w:rPr>
      </w:pPr>
      <w:bookmarkStart w:colFirst="0" w:colLast="0" w:name="_tx7g6ryzjhu" w:id="0"/>
      <w:bookmarkEnd w:id="0"/>
      <w:r w:rsidDel="00000000" w:rsidR="00000000" w:rsidRPr="00000000">
        <w:rPr>
          <w:b w:val="1"/>
          <w:bCs w:val="1"/>
          <w:sz w:val="24"/>
          <w:szCs w:val="24"/>
          <w:rtl w:val="0"/>
        </w:rPr>
        <w:t xml:space="preserve">Quick summary (top 3 findings)</w:t>
      </w:r>
    </w:p>
    <w:p w:rsidR="00000000" w:rsidDel="00000000" w:rsidP="00000000" w:rsidRDefault="00000000" w:rsidRPr="00000000" w14:paraId="00000002">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There are several well-tested non-formal toolkits and Erasmus+ projects focused on online safety, phishing and digital security that combine </w:t>
      </w:r>
      <w:r w:rsidDel="00000000" w:rsidR="00000000" w:rsidRPr="00000000">
        <w:rPr>
          <w:i w:val="1"/>
          <w:iCs w:val="1"/>
          <w:sz w:val="24"/>
          <w:szCs w:val="24"/>
          <w:rtl w:val="0"/>
        </w:rPr>
        <w:t xml:space="preserve">interactive activities</w:t>
      </w:r>
      <w:r w:rsidDel="00000000" w:rsidR="00000000" w:rsidRPr="00000000">
        <w:rPr>
          <w:sz w:val="24"/>
          <w:szCs w:val="24"/>
          <w:rtl w:val="0"/>
        </w:rPr>
        <w:t xml:space="preserve">, </w:t>
      </w:r>
      <w:r w:rsidDel="00000000" w:rsidR="00000000" w:rsidRPr="00000000">
        <w:rPr>
          <w:i w:val="1"/>
          <w:iCs w:val="1"/>
          <w:sz w:val="24"/>
          <w:szCs w:val="24"/>
          <w:rtl w:val="0"/>
        </w:rPr>
        <w:t xml:space="preserve">peer education</w:t>
      </w:r>
      <w:r w:rsidDel="00000000" w:rsidR="00000000" w:rsidRPr="00000000">
        <w:rPr>
          <w:sz w:val="24"/>
          <w:szCs w:val="24"/>
          <w:rtl w:val="0"/>
        </w:rPr>
        <w:t xml:space="preserve"> and </w:t>
      </w:r>
      <w:r w:rsidDel="00000000" w:rsidR="00000000" w:rsidRPr="00000000">
        <w:rPr>
          <w:i w:val="1"/>
          <w:iCs w:val="1"/>
          <w:sz w:val="24"/>
          <w:szCs w:val="24"/>
          <w:rtl w:val="0"/>
        </w:rPr>
        <w:t xml:space="preserve">practical tool training</w:t>
      </w:r>
      <w:r w:rsidDel="00000000" w:rsidR="00000000" w:rsidRPr="00000000">
        <w:rPr>
          <w:sz w:val="24"/>
          <w:szCs w:val="24"/>
          <w:rtl w:val="0"/>
        </w:rPr>
        <w:t xml:space="preserve"> (e.g., SALTO digital security toolkit, Erasmus+ KA2 project toolkits).</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Salto-YOUTH+1</w:t>
          <w:br w:type="textWrapping"/>
        </w:r>
      </w:hyperlink>
      <w:r w:rsidDel="00000000" w:rsidR="00000000" w:rsidRPr="00000000">
        <w:rPr>
          <w:rtl w:val="0"/>
        </w:rPr>
      </w:r>
    </w:p>
    <w:p w:rsidR="00000000" w:rsidDel="00000000" w:rsidP="00000000" w:rsidRDefault="00000000" w:rsidRPr="00000000" w14:paraId="00000003">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EU-wide hubs (Better-Internet-for-Kids, European Youth Portal, Safer Internet Centres) provide pedagogical materials and awareness campaigns (useful for lesson plans, Safer Internet Day activities, and policy framing). These are good anchors when you need up-to-date facts and campaign materials.</w:t>
      </w:r>
      <w:hyperlink r:id="rId8">
        <w:r w:rsidDel="00000000" w:rsidR="00000000" w:rsidRPr="00000000">
          <w:rPr>
            <w:sz w:val="24"/>
            <w:szCs w:val="24"/>
            <w:rtl w:val="0"/>
          </w:rPr>
          <w:t xml:space="preserve"> </w:t>
        </w:r>
      </w:hyperlink>
      <w:hyperlink r:id="rId9">
        <w:r w:rsidDel="00000000" w:rsidR="00000000" w:rsidRPr="00000000">
          <w:rPr>
            <w:color w:val="1155cc"/>
            <w:sz w:val="24"/>
            <w:szCs w:val="24"/>
            <w:u w:val="single"/>
            <w:rtl w:val="0"/>
          </w:rPr>
          <w:t xml:space="preserve">Better Internet for Kids+1</w:t>
          <w:br w:type="textWrapping"/>
        </w:r>
      </w:hyperlink>
      <w:r w:rsidDel="00000000" w:rsidR="00000000" w:rsidRPr="00000000">
        <w:rPr>
          <w:rtl w:val="0"/>
        </w:rPr>
      </w:r>
    </w:p>
    <w:p w:rsidR="00000000" w:rsidDel="00000000" w:rsidP="00000000" w:rsidRDefault="00000000" w:rsidRPr="00000000" w14:paraId="00000004">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Gaps: </w:t>
      </w:r>
      <w:r w:rsidDel="00000000" w:rsidR="00000000" w:rsidRPr="00000000">
        <w:rPr>
          <w:b w:val="1"/>
          <w:bCs w:val="1"/>
          <w:sz w:val="24"/>
          <w:szCs w:val="24"/>
          <w:rtl w:val="0"/>
        </w:rPr>
        <w:t xml:space="preserve">AI recognition</w:t>
      </w:r>
      <w:r w:rsidDel="00000000" w:rsidR="00000000" w:rsidRPr="00000000">
        <w:rPr>
          <w:sz w:val="24"/>
          <w:szCs w:val="24"/>
          <w:rtl w:val="0"/>
        </w:rPr>
        <w:t xml:space="preserve"> (practical, age-appropriate activities) and </w:t>
      </w:r>
      <w:r w:rsidDel="00000000" w:rsidR="00000000" w:rsidRPr="00000000">
        <w:rPr>
          <w:b w:val="1"/>
          <w:bCs w:val="1"/>
          <w:sz w:val="24"/>
          <w:szCs w:val="24"/>
          <w:rtl w:val="0"/>
        </w:rPr>
        <w:t xml:space="preserve">tailored resources for marginalized / minority language groups</w:t>
      </w:r>
      <w:r w:rsidDel="00000000" w:rsidR="00000000" w:rsidRPr="00000000">
        <w:rPr>
          <w:sz w:val="24"/>
          <w:szCs w:val="24"/>
          <w:rtl w:val="0"/>
        </w:rPr>
        <w:t xml:space="preserve"> are underdeveloped across the surveyed Erasmus+ outputs. Several Erasmus+ projects specifically address phishing or risky viral trends, but materials are unevenly distributed and evaluation is often light.</w:t>
      </w:r>
      <w:hyperlink r:id="rId10">
        <w:r w:rsidDel="00000000" w:rsidR="00000000" w:rsidRPr="00000000">
          <w:rPr>
            <w:sz w:val="24"/>
            <w:szCs w:val="24"/>
            <w:rtl w:val="0"/>
          </w:rPr>
          <w:t xml:space="preserve"> </w:t>
        </w:r>
      </w:hyperlink>
      <w:hyperlink r:id="rId11">
        <w:r w:rsidDel="00000000" w:rsidR="00000000" w:rsidRPr="00000000">
          <w:rPr>
            <w:color w:val="1155cc"/>
            <w:sz w:val="24"/>
            <w:szCs w:val="24"/>
            <w:u w:val="single"/>
            <w:rtl w:val="0"/>
          </w:rPr>
          <w:t xml:space="preserve">dorea.org+1</w:t>
          <w:br w:type="textWrapping"/>
        </w:r>
      </w:hyperlink>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pStyle w:val="Heading1"/>
        <w:keepNext w:val="0"/>
        <w:keepLines w:val="0"/>
        <w:spacing w:before="480" w:lineRule="auto"/>
        <w:rPr>
          <w:b w:val="1"/>
          <w:bCs w:val="1"/>
          <w:sz w:val="24"/>
          <w:szCs w:val="24"/>
        </w:rPr>
      </w:pPr>
      <w:bookmarkStart w:colFirst="0" w:colLast="0" w:name="_1d6ze7edv9bw" w:id="1"/>
      <w:bookmarkEnd w:id="1"/>
      <w:r w:rsidDel="00000000" w:rsidR="00000000" w:rsidRPr="00000000">
        <w:rPr>
          <w:b w:val="1"/>
          <w:bCs w:val="1"/>
          <w:sz w:val="24"/>
          <w:szCs w:val="24"/>
          <w:rtl w:val="0"/>
        </w:rPr>
        <w:t xml:space="preserve">Comparative table of active methodologies &amp; tools</w:t>
      </w:r>
    </w:p>
    <w:p w:rsidR="00000000" w:rsidDel="00000000" w:rsidP="00000000" w:rsidRDefault="00000000" w:rsidRPr="00000000" w14:paraId="00000007">
      <w:pPr>
        <w:spacing w:after="240" w:before="240" w:lineRule="auto"/>
        <w:rPr>
          <w:b w:val="1"/>
          <w:bCs w:val="1"/>
          <w:sz w:val="16"/>
          <w:szCs w:val="16"/>
        </w:rPr>
      </w:pP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06.7925953910087"/>
        <w:gridCol w:w="2560.1208915753687"/>
        <w:gridCol w:w="1043.143180959577"/>
        <w:gridCol w:w="1096.1843596524368"/>
        <w:gridCol w:w="1043.143180959577"/>
        <w:gridCol w:w="1340.1737816395919"/>
        <w:gridCol w:w="1170.4420098224405"/>
        <w:tblGridChange w:id="0">
          <w:tblGrid>
            <w:gridCol w:w="1106.7925953910087"/>
            <w:gridCol w:w="2560.1208915753687"/>
            <w:gridCol w:w="1043.143180959577"/>
            <w:gridCol w:w="1096.1843596524368"/>
            <w:gridCol w:w="1043.143180959577"/>
            <w:gridCol w:w="1340.1737816395919"/>
            <w:gridCol w:w="1170.4420098224405"/>
          </w:tblGrid>
        </w:tblGridChange>
      </w:tblGrid>
      <w:tr>
        <w:trPr>
          <w:cantSplit w:val="0"/>
          <w:trHeight w:val="10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rPr>
                <w:b w:val="1"/>
                <w:bCs w:val="1"/>
                <w:sz w:val="16"/>
                <w:szCs w:val="16"/>
              </w:rPr>
            </w:pPr>
            <w:r w:rsidDel="00000000" w:rsidR="00000000" w:rsidRPr="00000000">
              <w:rPr>
                <w:b w:val="1"/>
                <w:bCs w:val="1"/>
                <w:sz w:val="16"/>
                <w:szCs w:val="16"/>
                <w:rtl w:val="0"/>
              </w:rPr>
              <w:t xml:space="preserve">Method / Tool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rPr>
                <w:b w:val="1"/>
                <w:bCs w:val="1"/>
                <w:sz w:val="16"/>
                <w:szCs w:val="16"/>
              </w:rPr>
            </w:pPr>
            <w:r w:rsidDel="00000000" w:rsidR="00000000" w:rsidRPr="00000000">
              <w:rPr>
                <w:b w:val="1"/>
                <w:bCs w:val="1"/>
                <w:sz w:val="16"/>
                <w:szCs w:val="16"/>
                <w:rtl w:val="0"/>
              </w:rPr>
              <w:t xml:space="preserve">Source(s)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A">
            <w:pPr>
              <w:rPr>
                <w:b w:val="1"/>
                <w:bCs w:val="1"/>
                <w:sz w:val="16"/>
                <w:szCs w:val="16"/>
              </w:rPr>
            </w:pPr>
            <w:r w:rsidDel="00000000" w:rsidR="00000000" w:rsidRPr="00000000">
              <w:rPr>
                <w:b w:val="1"/>
                <w:bCs w:val="1"/>
                <w:sz w:val="16"/>
                <w:szCs w:val="16"/>
                <w:rtl w:val="0"/>
              </w:rPr>
              <w:t xml:space="preserve">Age / setting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B">
            <w:pPr>
              <w:rPr>
                <w:b w:val="1"/>
                <w:bCs w:val="1"/>
                <w:sz w:val="16"/>
                <w:szCs w:val="16"/>
              </w:rPr>
            </w:pPr>
            <w:r w:rsidDel="00000000" w:rsidR="00000000" w:rsidRPr="00000000">
              <w:rPr>
                <w:b w:val="1"/>
                <w:bCs w:val="1"/>
                <w:sz w:val="16"/>
                <w:szCs w:val="16"/>
                <w:rtl w:val="0"/>
              </w:rPr>
              <w:t xml:space="preserve">Core approach &amp; activities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C">
            <w:pPr>
              <w:rPr>
                <w:b w:val="1"/>
                <w:bCs w:val="1"/>
                <w:sz w:val="16"/>
                <w:szCs w:val="16"/>
              </w:rPr>
            </w:pPr>
            <w:r w:rsidDel="00000000" w:rsidR="00000000" w:rsidRPr="00000000">
              <w:rPr>
                <w:b w:val="1"/>
                <w:bCs w:val="1"/>
                <w:sz w:val="16"/>
                <w:szCs w:val="16"/>
                <w:rtl w:val="0"/>
              </w:rPr>
              <w:t xml:space="preserve">Strengths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D">
            <w:pPr>
              <w:rPr>
                <w:b w:val="1"/>
                <w:bCs w:val="1"/>
                <w:sz w:val="16"/>
                <w:szCs w:val="16"/>
              </w:rPr>
            </w:pPr>
            <w:r w:rsidDel="00000000" w:rsidR="00000000" w:rsidRPr="00000000">
              <w:rPr>
                <w:b w:val="1"/>
                <w:bCs w:val="1"/>
                <w:sz w:val="16"/>
                <w:szCs w:val="16"/>
                <w:rtl w:val="0"/>
              </w:rPr>
              <w:t xml:space="preserve">Limitations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E">
            <w:pPr>
              <w:rPr>
                <w:b w:val="1"/>
                <w:bCs w:val="1"/>
                <w:sz w:val="16"/>
                <w:szCs w:val="16"/>
              </w:rPr>
            </w:pPr>
            <w:r w:rsidDel="00000000" w:rsidR="00000000" w:rsidRPr="00000000">
              <w:rPr>
                <w:b w:val="1"/>
                <w:bCs w:val="1"/>
                <w:sz w:val="16"/>
                <w:szCs w:val="16"/>
                <w:rtl w:val="0"/>
              </w:rPr>
              <w:t xml:space="preserve">Tailoring for diverse backgrounds</w:t>
            </w:r>
          </w:p>
        </w:tc>
      </w:tr>
      <w:tr>
        <w:trPr>
          <w:cantSplit w:val="0"/>
          <w:trHeight w:val="32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F">
            <w:pPr>
              <w:rPr>
                <w:sz w:val="16"/>
                <w:szCs w:val="16"/>
              </w:rPr>
            </w:pPr>
            <w:r w:rsidDel="00000000" w:rsidR="00000000" w:rsidRPr="00000000">
              <w:rPr>
                <w:sz w:val="16"/>
                <w:szCs w:val="16"/>
                <w:rtl w:val="0"/>
              </w:rPr>
              <w:t xml:space="preserve">Digital Security Toolkit (practical guide)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0">
            <w:pPr>
              <w:rPr>
                <w:sz w:val="16"/>
                <w:szCs w:val="16"/>
              </w:rPr>
            </w:pPr>
            <w:r w:rsidDel="00000000" w:rsidR="00000000" w:rsidRPr="00000000">
              <w:rPr>
                <w:sz w:val="16"/>
                <w:szCs w:val="16"/>
                <w:rtl w:val="0"/>
              </w:rPr>
              <w:t xml:space="preserve">SALTO — Digital Security Toolkit.</w:t>
            </w:r>
            <w:hyperlink r:id="rId12">
              <w:r w:rsidDel="00000000" w:rsidR="00000000" w:rsidRPr="00000000">
                <w:rPr>
                  <w:sz w:val="16"/>
                  <w:szCs w:val="16"/>
                  <w:rtl w:val="0"/>
                </w:rPr>
                <w:t xml:space="preserve"> </w:t>
              </w:r>
            </w:hyperlink>
            <w:hyperlink r:id="rId13">
              <w:r w:rsidDel="00000000" w:rsidR="00000000" w:rsidRPr="00000000">
                <w:rPr>
                  <w:color w:val="1155cc"/>
                  <w:sz w:val="16"/>
                  <w:szCs w:val="16"/>
                  <w:u w:val="single"/>
                  <w:rtl w:val="0"/>
                </w:rPr>
                <w:t xml:space="preserve">Salto-YOUTH</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1">
            <w:pPr>
              <w:rPr>
                <w:sz w:val="16"/>
                <w:szCs w:val="16"/>
              </w:rPr>
            </w:pPr>
            <w:r w:rsidDel="00000000" w:rsidR="00000000" w:rsidRPr="00000000">
              <w:rPr>
                <w:sz w:val="16"/>
                <w:szCs w:val="16"/>
                <w:rtl w:val="0"/>
              </w:rPr>
              <w:t xml:space="preserve">Youth workers; 14–25; non-formal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2">
            <w:pPr>
              <w:rPr>
                <w:sz w:val="16"/>
                <w:szCs w:val="16"/>
              </w:rPr>
            </w:pPr>
            <w:r w:rsidDel="00000000" w:rsidR="00000000" w:rsidRPr="00000000">
              <w:rPr>
                <w:sz w:val="16"/>
                <w:szCs w:val="16"/>
                <w:rtl w:val="0"/>
              </w:rPr>
              <w:t xml:space="preserve">Practical sessions on passwords, 2FA, VPN, device hygiene; phishing recognition checklists; scenario workshops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3">
            <w:pPr>
              <w:rPr>
                <w:sz w:val="16"/>
                <w:szCs w:val="16"/>
              </w:rPr>
            </w:pPr>
            <w:r w:rsidDel="00000000" w:rsidR="00000000" w:rsidRPr="00000000">
              <w:rPr>
                <w:sz w:val="16"/>
                <w:szCs w:val="16"/>
                <w:rtl w:val="0"/>
              </w:rPr>
              <w:t xml:space="preserve">Practical, step-by-step; ready activities for youth workers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4">
            <w:pPr>
              <w:rPr>
                <w:sz w:val="16"/>
                <w:szCs w:val="16"/>
              </w:rPr>
            </w:pPr>
            <w:r w:rsidDel="00000000" w:rsidR="00000000" w:rsidRPr="00000000">
              <w:rPr>
                <w:sz w:val="16"/>
                <w:szCs w:val="16"/>
                <w:rtl w:val="0"/>
              </w:rPr>
              <w:t xml:space="preserve">Technical parts may be too advanced for some groups; limited AI content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5">
            <w:pPr>
              <w:rPr>
                <w:sz w:val="16"/>
                <w:szCs w:val="16"/>
              </w:rPr>
            </w:pPr>
            <w:r w:rsidDel="00000000" w:rsidR="00000000" w:rsidRPr="00000000">
              <w:rPr>
                <w:sz w:val="16"/>
                <w:szCs w:val="16"/>
                <w:rtl w:val="0"/>
              </w:rPr>
              <w:t xml:space="preserve">Simplify tech parts into roleplays; translate checklists; create pictorial guides and short videos</w:t>
            </w:r>
          </w:p>
        </w:tc>
      </w:tr>
      <w:tr>
        <w:trPr>
          <w:cantSplit w:val="0"/>
          <w:trHeight w:val="29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6">
            <w:pPr>
              <w:rPr>
                <w:sz w:val="16"/>
                <w:szCs w:val="16"/>
              </w:rPr>
            </w:pPr>
            <w:r w:rsidDel="00000000" w:rsidR="00000000" w:rsidRPr="00000000">
              <w:rPr>
                <w:sz w:val="16"/>
                <w:szCs w:val="16"/>
                <w:rtl w:val="0"/>
              </w:rPr>
              <w:t xml:space="preserve">Erasmus+ KA2 projects (phishing &amp; cyber awareness modules)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rPr>
                <w:sz w:val="16"/>
                <w:szCs w:val="16"/>
              </w:rPr>
            </w:pPr>
            <w:r w:rsidDel="00000000" w:rsidR="00000000" w:rsidRPr="00000000">
              <w:rPr>
                <w:sz w:val="16"/>
                <w:szCs w:val="16"/>
                <w:rtl w:val="0"/>
              </w:rPr>
              <w:t xml:space="preserve">Example projects: “Safeguarding against Phishing”, “CyberSafe Youth”, “Prevention of Youth Risky Viral Trends”.</w:t>
            </w:r>
            <w:hyperlink r:id="rId14">
              <w:r w:rsidDel="00000000" w:rsidR="00000000" w:rsidRPr="00000000">
                <w:rPr>
                  <w:sz w:val="16"/>
                  <w:szCs w:val="16"/>
                  <w:rtl w:val="0"/>
                </w:rPr>
                <w:t xml:space="preserve"> </w:t>
              </w:r>
            </w:hyperlink>
            <w:hyperlink r:id="rId15">
              <w:r w:rsidDel="00000000" w:rsidR="00000000" w:rsidRPr="00000000">
                <w:rPr>
                  <w:color w:val="1155cc"/>
                  <w:sz w:val="16"/>
                  <w:szCs w:val="16"/>
                  <w:u w:val="single"/>
                  <w:rtl w:val="0"/>
                </w:rPr>
                <w:t xml:space="preserve">dorea.org+2copernicusberlin.org+2</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8">
            <w:pPr>
              <w:rPr>
                <w:sz w:val="16"/>
                <w:szCs w:val="16"/>
              </w:rPr>
            </w:pPr>
            <w:r w:rsidDel="00000000" w:rsidR="00000000" w:rsidRPr="00000000">
              <w:rPr>
                <w:sz w:val="16"/>
                <w:szCs w:val="16"/>
                <w:rtl w:val="0"/>
              </w:rPr>
              <w:t xml:space="preserve">Mixed — schools, youth centres, transnational youth exchanges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rPr>
                <w:sz w:val="16"/>
                <w:szCs w:val="16"/>
              </w:rPr>
            </w:pPr>
            <w:r w:rsidDel="00000000" w:rsidR="00000000" w:rsidRPr="00000000">
              <w:rPr>
                <w:sz w:val="16"/>
                <w:szCs w:val="16"/>
                <w:rtl w:val="0"/>
              </w:rPr>
              <w:t xml:space="preserve">Non-formal modules, escape-room style activities, phishing simulators, peer education, campaigns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rPr>
                <w:sz w:val="16"/>
                <w:szCs w:val="16"/>
              </w:rPr>
            </w:pPr>
            <w:r w:rsidDel="00000000" w:rsidR="00000000" w:rsidRPr="00000000">
              <w:rPr>
                <w:sz w:val="16"/>
                <w:szCs w:val="16"/>
                <w:rtl w:val="0"/>
              </w:rPr>
              <w:t xml:space="preserve">Peer learning; adaptable to exchanges; tested in transnational settings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rPr>
                <w:sz w:val="16"/>
                <w:szCs w:val="16"/>
              </w:rPr>
            </w:pPr>
            <w:r w:rsidDel="00000000" w:rsidR="00000000" w:rsidRPr="00000000">
              <w:rPr>
                <w:sz w:val="16"/>
                <w:szCs w:val="16"/>
                <w:rtl w:val="0"/>
              </w:rPr>
              <w:t xml:space="preserve">Variability in quality; materials sometimes not centrally archived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rPr>
                <w:sz w:val="16"/>
                <w:szCs w:val="16"/>
              </w:rPr>
            </w:pPr>
            <w:r w:rsidDel="00000000" w:rsidR="00000000" w:rsidRPr="00000000">
              <w:rPr>
                <w:sz w:val="16"/>
                <w:szCs w:val="16"/>
                <w:rtl w:val="0"/>
              </w:rPr>
              <w:t xml:space="preserve">Co-create localized examples (local scams); run youth-led translations; include low-tech/offline simulation variants</w:t>
            </w:r>
          </w:p>
        </w:tc>
      </w:tr>
      <w:tr>
        <w:trPr>
          <w:cantSplit w:val="0"/>
          <w:trHeight w:val="27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rPr>
                <w:sz w:val="16"/>
                <w:szCs w:val="16"/>
              </w:rPr>
            </w:pPr>
            <w:r w:rsidDel="00000000" w:rsidR="00000000" w:rsidRPr="00000000">
              <w:rPr>
                <w:sz w:val="16"/>
                <w:szCs w:val="16"/>
                <w:rtl w:val="0"/>
              </w:rPr>
              <w:t xml:space="preserve">Safer Internet Centre / Safer Internet Day resources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rPr>
                <w:sz w:val="16"/>
                <w:szCs w:val="16"/>
              </w:rPr>
            </w:pPr>
            <w:r w:rsidDel="00000000" w:rsidR="00000000" w:rsidRPr="00000000">
              <w:rPr>
                <w:sz w:val="16"/>
                <w:szCs w:val="16"/>
                <w:rtl w:val="0"/>
              </w:rPr>
              <w:t xml:space="preserve">UK Safer Internet Centre &amp; campaign materials.</w:t>
            </w:r>
            <w:hyperlink r:id="rId16">
              <w:r w:rsidDel="00000000" w:rsidR="00000000" w:rsidRPr="00000000">
                <w:rPr>
                  <w:sz w:val="16"/>
                  <w:szCs w:val="16"/>
                  <w:rtl w:val="0"/>
                </w:rPr>
                <w:t xml:space="preserve"> </w:t>
              </w:r>
            </w:hyperlink>
            <w:hyperlink r:id="rId17">
              <w:r w:rsidDel="00000000" w:rsidR="00000000" w:rsidRPr="00000000">
                <w:rPr>
                  <w:color w:val="1155cc"/>
                  <w:sz w:val="16"/>
                  <w:szCs w:val="16"/>
                  <w:u w:val="single"/>
                  <w:rtl w:val="0"/>
                </w:rPr>
                <w:t xml:space="preserve">UK Safer Internet Centre+1</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rPr>
                <w:sz w:val="16"/>
                <w:szCs w:val="16"/>
              </w:rPr>
            </w:pPr>
            <w:r w:rsidDel="00000000" w:rsidR="00000000" w:rsidRPr="00000000">
              <w:rPr>
                <w:sz w:val="16"/>
                <w:szCs w:val="16"/>
                <w:rtl w:val="0"/>
              </w:rPr>
              <w:t xml:space="preserve">Schools &amp; youth orgs; all ages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rPr>
                <w:sz w:val="16"/>
                <w:szCs w:val="16"/>
              </w:rPr>
            </w:pPr>
            <w:r w:rsidDel="00000000" w:rsidR="00000000" w:rsidRPr="00000000">
              <w:rPr>
                <w:sz w:val="16"/>
                <w:szCs w:val="16"/>
                <w:rtl w:val="0"/>
              </w:rPr>
              <w:t xml:space="preserve">Lesson plans, assemblies, scam theme activities (Safer Internet Day), family resources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rPr>
                <w:sz w:val="16"/>
                <w:szCs w:val="16"/>
              </w:rPr>
            </w:pPr>
            <w:r w:rsidDel="00000000" w:rsidR="00000000" w:rsidRPr="00000000">
              <w:rPr>
                <w:sz w:val="16"/>
                <w:szCs w:val="16"/>
                <w:rtl w:val="0"/>
              </w:rPr>
              <w:t xml:space="preserve">High quality, classroom-ready, themes updated annually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rPr>
                <w:sz w:val="16"/>
                <w:szCs w:val="16"/>
              </w:rPr>
            </w:pPr>
            <w:r w:rsidDel="00000000" w:rsidR="00000000" w:rsidRPr="00000000">
              <w:rPr>
                <w:sz w:val="16"/>
                <w:szCs w:val="16"/>
                <w:rtl w:val="0"/>
              </w:rPr>
              <w:t xml:space="preserve">Mostly classroom/school centric; English-centric resources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rPr>
                <w:sz w:val="16"/>
                <w:szCs w:val="16"/>
              </w:rPr>
            </w:pPr>
            <w:r w:rsidDel="00000000" w:rsidR="00000000" w:rsidRPr="00000000">
              <w:rPr>
                <w:sz w:val="16"/>
                <w:szCs w:val="16"/>
                <w:rtl w:val="0"/>
              </w:rPr>
              <w:t xml:space="preserve">Use short micro-lessons for non-formal settings; adapt into community languages and cultural examples</w:t>
            </w:r>
          </w:p>
        </w:tc>
      </w:tr>
      <w:tr>
        <w:trPr>
          <w:cantSplit w:val="0"/>
          <w:trHeight w:val="24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rPr>
                <w:sz w:val="16"/>
                <w:szCs w:val="16"/>
              </w:rPr>
            </w:pPr>
            <w:r w:rsidDel="00000000" w:rsidR="00000000" w:rsidRPr="00000000">
              <w:rPr>
                <w:sz w:val="16"/>
                <w:szCs w:val="16"/>
                <w:rtl w:val="0"/>
              </w:rPr>
              <w:t xml:space="preserve">Better Internet for Kids (BIK+) &amp; BIK Youth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rPr>
                <w:sz w:val="16"/>
                <w:szCs w:val="16"/>
              </w:rPr>
            </w:pPr>
            <w:r w:rsidDel="00000000" w:rsidR="00000000" w:rsidRPr="00000000">
              <w:rPr>
                <w:sz w:val="16"/>
                <w:szCs w:val="16"/>
                <w:rtl w:val="0"/>
              </w:rPr>
              <w:t xml:space="preserve">Better-Internet-for-Kids portal.</w:t>
            </w:r>
            <w:hyperlink r:id="rId18">
              <w:r w:rsidDel="00000000" w:rsidR="00000000" w:rsidRPr="00000000">
                <w:rPr>
                  <w:sz w:val="16"/>
                  <w:szCs w:val="16"/>
                  <w:rtl w:val="0"/>
                </w:rPr>
                <w:t xml:space="preserve"> </w:t>
              </w:r>
            </w:hyperlink>
            <w:hyperlink r:id="rId19">
              <w:r w:rsidDel="00000000" w:rsidR="00000000" w:rsidRPr="00000000">
                <w:rPr>
                  <w:color w:val="1155cc"/>
                  <w:sz w:val="16"/>
                  <w:szCs w:val="16"/>
                  <w:u w:val="single"/>
                  <w:rtl w:val="0"/>
                </w:rPr>
                <w:t xml:space="preserve">Better Internet for Kids</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rPr>
                <w:sz w:val="16"/>
                <w:szCs w:val="16"/>
              </w:rPr>
            </w:pPr>
            <w:r w:rsidDel="00000000" w:rsidR="00000000" w:rsidRPr="00000000">
              <w:rPr>
                <w:sz w:val="16"/>
                <w:szCs w:val="16"/>
                <w:rtl w:val="0"/>
              </w:rPr>
              <w:t xml:space="preserve">8–18; educators &amp; policy makers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rPr>
                <w:sz w:val="16"/>
                <w:szCs w:val="16"/>
              </w:rPr>
            </w:pPr>
            <w:r w:rsidDel="00000000" w:rsidR="00000000" w:rsidRPr="00000000">
              <w:rPr>
                <w:sz w:val="16"/>
                <w:szCs w:val="16"/>
                <w:rtl w:val="0"/>
              </w:rPr>
              <w:t xml:space="preserve">Youth consultations, evidence base, policy guidance, age-tailored resources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rPr>
                <w:sz w:val="16"/>
                <w:szCs w:val="16"/>
              </w:rPr>
            </w:pPr>
            <w:r w:rsidDel="00000000" w:rsidR="00000000" w:rsidRPr="00000000">
              <w:rPr>
                <w:sz w:val="16"/>
                <w:szCs w:val="16"/>
                <w:rtl w:val="0"/>
              </w:rPr>
              <w:t xml:space="preserve">Strong evidence base and policy links; youth consultation outputs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rPr>
                <w:sz w:val="16"/>
                <w:szCs w:val="16"/>
              </w:rPr>
            </w:pPr>
            <w:r w:rsidDel="00000000" w:rsidR="00000000" w:rsidRPr="00000000">
              <w:rPr>
                <w:sz w:val="16"/>
                <w:szCs w:val="16"/>
                <w:rtl w:val="0"/>
              </w:rPr>
              <w:t xml:space="preserve">Less “how-to” for hands-on phishing/AI labs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rPr>
                <w:sz w:val="16"/>
                <w:szCs w:val="16"/>
              </w:rPr>
            </w:pPr>
            <w:r w:rsidDel="00000000" w:rsidR="00000000" w:rsidRPr="00000000">
              <w:rPr>
                <w:sz w:val="16"/>
                <w:szCs w:val="16"/>
                <w:rtl w:val="0"/>
              </w:rPr>
              <w:t xml:space="preserve">Use BIK resources for framing and credibility; pack practical exercises around their guidelines</w:t>
            </w:r>
          </w:p>
        </w:tc>
      </w:tr>
      <w:tr>
        <w:trPr>
          <w:cantSplit w:val="0"/>
          <w:trHeight w:val="29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rPr>
                <w:sz w:val="16"/>
                <w:szCs w:val="16"/>
              </w:rPr>
            </w:pPr>
            <w:r w:rsidDel="00000000" w:rsidR="00000000" w:rsidRPr="00000000">
              <w:rPr>
                <w:sz w:val="16"/>
                <w:szCs w:val="16"/>
                <w:rtl w:val="0"/>
              </w:rPr>
              <w:t xml:space="preserve">Inclusive participation / youth engagement toolkits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rPr>
                <w:sz w:val="16"/>
                <w:szCs w:val="16"/>
              </w:rPr>
            </w:pPr>
            <w:r w:rsidDel="00000000" w:rsidR="00000000" w:rsidRPr="00000000">
              <w:rPr>
                <w:sz w:val="16"/>
                <w:szCs w:val="16"/>
                <w:rtl w:val="0"/>
              </w:rPr>
              <w:t xml:space="preserve">Erasmus+ Toolkit: Inclusive Youth Participation (Toolkit PDF).</w:t>
            </w:r>
            <w:hyperlink r:id="rId20">
              <w:r w:rsidDel="00000000" w:rsidR="00000000" w:rsidRPr="00000000">
                <w:rPr>
                  <w:sz w:val="16"/>
                  <w:szCs w:val="16"/>
                  <w:rtl w:val="0"/>
                </w:rPr>
                <w:t xml:space="preserve"> </w:t>
              </w:r>
            </w:hyperlink>
            <w:hyperlink r:id="rId21">
              <w:r w:rsidDel="00000000" w:rsidR="00000000" w:rsidRPr="00000000">
                <w:rPr>
                  <w:color w:val="1155cc"/>
                  <w:sz w:val="16"/>
                  <w:szCs w:val="16"/>
                  <w:u w:val="single"/>
                  <w:rtl w:val="0"/>
                </w:rPr>
                <w:t xml:space="preserve">Erasmus+</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rPr>
                <w:sz w:val="16"/>
                <w:szCs w:val="16"/>
              </w:rPr>
            </w:pPr>
            <w:r w:rsidDel="00000000" w:rsidR="00000000" w:rsidRPr="00000000">
              <w:rPr>
                <w:sz w:val="16"/>
                <w:szCs w:val="16"/>
                <w:rtl w:val="0"/>
              </w:rPr>
              <w:t xml:space="preserve">Youth workers; inclusive groups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rPr>
                <w:sz w:val="16"/>
                <w:szCs w:val="16"/>
              </w:rPr>
            </w:pPr>
            <w:r w:rsidDel="00000000" w:rsidR="00000000" w:rsidRPr="00000000">
              <w:rPr>
                <w:sz w:val="16"/>
                <w:szCs w:val="16"/>
                <w:rtl w:val="0"/>
              </w:rPr>
              <w:t xml:space="preserve">Methods to ensure participation, Miro templates, facilitation guides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rPr>
                <w:sz w:val="16"/>
                <w:szCs w:val="16"/>
              </w:rPr>
            </w:pPr>
            <w:r w:rsidDel="00000000" w:rsidR="00000000" w:rsidRPr="00000000">
              <w:rPr>
                <w:sz w:val="16"/>
                <w:szCs w:val="16"/>
                <w:rtl w:val="0"/>
              </w:rPr>
              <w:t xml:space="preserve">Focus on inclusion &amp; accessible facilitation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rPr>
                <w:sz w:val="16"/>
                <w:szCs w:val="16"/>
              </w:rPr>
            </w:pPr>
            <w:r w:rsidDel="00000000" w:rsidR="00000000" w:rsidRPr="00000000">
              <w:rPr>
                <w:sz w:val="16"/>
                <w:szCs w:val="16"/>
                <w:rtl w:val="0"/>
              </w:rPr>
              <w:t xml:space="preserve">Not specific to cyber/AI content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rPr>
                <w:sz w:val="16"/>
                <w:szCs w:val="16"/>
              </w:rPr>
            </w:pPr>
            <w:r w:rsidDel="00000000" w:rsidR="00000000" w:rsidRPr="00000000">
              <w:rPr>
                <w:sz w:val="16"/>
                <w:szCs w:val="16"/>
                <w:rtl w:val="0"/>
              </w:rPr>
              <w:t xml:space="preserve">Embed online safety content into inclusive participation recipes (adapting facilitation to neurodiversity, language levels)</w:t>
            </w:r>
          </w:p>
        </w:tc>
      </w:tr>
    </w:tbl>
    <w:p w:rsidR="00000000" w:rsidDel="00000000" w:rsidP="00000000" w:rsidRDefault="00000000" w:rsidRPr="00000000" w14:paraId="00000032">
      <w:pPr>
        <w:rPr>
          <w:sz w:val="16"/>
          <w:szCs w:val="16"/>
        </w:rPr>
      </w:pPr>
      <w:r w:rsidDel="00000000" w:rsidR="00000000" w:rsidRPr="00000000">
        <w:rPr>
          <w:rtl w:val="0"/>
        </w:rPr>
      </w:r>
    </w:p>
    <w:p w:rsidR="00000000" w:rsidDel="00000000" w:rsidP="00000000" w:rsidRDefault="00000000" w:rsidRPr="00000000" w14:paraId="00000033">
      <w:pPr>
        <w:pStyle w:val="Heading1"/>
        <w:keepNext w:val="0"/>
        <w:keepLines w:val="0"/>
        <w:spacing w:before="480" w:lineRule="auto"/>
        <w:rPr>
          <w:b w:val="1"/>
          <w:bCs w:val="1"/>
          <w:sz w:val="24"/>
          <w:szCs w:val="24"/>
        </w:rPr>
      </w:pPr>
      <w:bookmarkStart w:colFirst="0" w:colLast="0" w:name="_dhqoavmbti1z" w:id="2"/>
      <w:bookmarkEnd w:id="2"/>
      <w:r w:rsidDel="00000000" w:rsidR="00000000" w:rsidRPr="00000000">
        <w:rPr>
          <w:b w:val="1"/>
          <w:bCs w:val="1"/>
          <w:sz w:val="24"/>
          <w:szCs w:val="24"/>
          <w:rtl w:val="0"/>
        </w:rPr>
        <w:t xml:space="preserve">Identified gaps (where Erasmus+/EU materials are thin)</w:t>
      </w:r>
    </w:p>
    <w:p w:rsidR="00000000" w:rsidDel="00000000" w:rsidP="00000000" w:rsidRDefault="00000000" w:rsidRPr="00000000" w14:paraId="00000034">
      <w:pPr>
        <w:numPr>
          <w:ilvl w:val="0"/>
          <w:numId w:val="2"/>
        </w:numPr>
        <w:spacing w:after="0" w:afterAutospacing="0" w:before="240" w:lineRule="auto"/>
        <w:ind w:left="720" w:hanging="360"/>
        <w:rPr>
          <w:sz w:val="24"/>
          <w:szCs w:val="24"/>
        </w:rPr>
      </w:pPr>
      <w:r w:rsidDel="00000000" w:rsidR="00000000" w:rsidRPr="00000000">
        <w:rPr>
          <w:b w:val="1"/>
          <w:bCs w:val="1"/>
          <w:sz w:val="24"/>
          <w:szCs w:val="24"/>
          <w:rtl w:val="0"/>
        </w:rPr>
        <w:t xml:space="preserve">Age-appropriate, hands-on AI recognition activities</w:t>
      </w:r>
      <w:r w:rsidDel="00000000" w:rsidR="00000000" w:rsidRPr="00000000">
        <w:rPr>
          <w:sz w:val="24"/>
          <w:szCs w:val="24"/>
          <w:rtl w:val="0"/>
        </w:rPr>
        <w:t xml:space="preserve"> — few Erasmus+ materials teach young people </w:t>
      </w:r>
      <w:r w:rsidDel="00000000" w:rsidR="00000000" w:rsidRPr="00000000">
        <w:rPr>
          <w:i w:val="1"/>
          <w:iCs w:val="1"/>
          <w:sz w:val="24"/>
          <w:szCs w:val="24"/>
          <w:rtl w:val="0"/>
        </w:rPr>
        <w:t xml:space="preserve">how</w:t>
      </w:r>
      <w:r w:rsidDel="00000000" w:rsidR="00000000" w:rsidRPr="00000000">
        <w:rPr>
          <w:sz w:val="24"/>
          <w:szCs w:val="24"/>
          <w:rtl w:val="0"/>
        </w:rPr>
        <w:t xml:space="preserve"> generative AIs produce outputs vs. human outputs, or practical checks for deepfakes in workshop form.</w:t>
      </w:r>
      <w:hyperlink r:id="rId22">
        <w:r w:rsidDel="00000000" w:rsidR="00000000" w:rsidRPr="00000000">
          <w:rPr>
            <w:sz w:val="24"/>
            <w:szCs w:val="24"/>
            <w:rtl w:val="0"/>
          </w:rPr>
          <w:t xml:space="preserve"> </w:t>
        </w:r>
      </w:hyperlink>
      <w:hyperlink r:id="rId23">
        <w:r w:rsidDel="00000000" w:rsidR="00000000" w:rsidRPr="00000000">
          <w:rPr>
            <w:color w:val="1155cc"/>
            <w:sz w:val="24"/>
            <w:szCs w:val="24"/>
            <w:u w:val="single"/>
            <w:rtl w:val="0"/>
          </w:rPr>
          <w:t xml:space="preserve">Portal</w:t>
          <w:br w:type="textWrapping"/>
        </w:r>
      </w:hyperlink>
      <w:r w:rsidDel="00000000" w:rsidR="00000000" w:rsidRPr="00000000">
        <w:rPr>
          <w:rtl w:val="0"/>
        </w:rPr>
      </w:r>
    </w:p>
    <w:p w:rsidR="00000000" w:rsidDel="00000000" w:rsidP="00000000" w:rsidRDefault="00000000" w:rsidRPr="00000000" w14:paraId="00000035">
      <w:pPr>
        <w:numPr>
          <w:ilvl w:val="0"/>
          <w:numId w:val="2"/>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Standardised phishing simulation templates for youth settings</w:t>
      </w:r>
      <w:r w:rsidDel="00000000" w:rsidR="00000000" w:rsidRPr="00000000">
        <w:rPr>
          <w:sz w:val="24"/>
          <w:szCs w:val="24"/>
          <w:rtl w:val="0"/>
        </w:rPr>
        <w:t xml:space="preserve"> — phishing simulators exist in schools/workplace tools, but youth sector lacks ready-made low-cost templates tailored to non-formal learning.</w:t>
      </w:r>
      <w:hyperlink r:id="rId24">
        <w:r w:rsidDel="00000000" w:rsidR="00000000" w:rsidRPr="00000000">
          <w:rPr>
            <w:sz w:val="24"/>
            <w:szCs w:val="24"/>
            <w:rtl w:val="0"/>
          </w:rPr>
          <w:t xml:space="preserve"> </w:t>
        </w:r>
      </w:hyperlink>
      <w:hyperlink r:id="rId25">
        <w:r w:rsidDel="00000000" w:rsidR="00000000" w:rsidRPr="00000000">
          <w:rPr>
            <w:color w:val="1155cc"/>
            <w:sz w:val="24"/>
            <w:szCs w:val="24"/>
            <w:u w:val="single"/>
            <w:rtl w:val="0"/>
          </w:rPr>
          <w:t xml:space="preserve">dorea.org</w:t>
          <w:br w:type="textWrapping"/>
        </w:r>
      </w:hyperlink>
      <w:r w:rsidDel="00000000" w:rsidR="00000000" w:rsidRPr="00000000">
        <w:rPr>
          <w:rtl w:val="0"/>
        </w:rPr>
      </w:r>
    </w:p>
    <w:p w:rsidR="00000000" w:rsidDel="00000000" w:rsidP="00000000" w:rsidRDefault="00000000" w:rsidRPr="00000000" w14:paraId="00000036">
      <w:pPr>
        <w:numPr>
          <w:ilvl w:val="0"/>
          <w:numId w:val="2"/>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Materials in minority languages and for low-literacy learners</w:t>
      </w:r>
      <w:r w:rsidDel="00000000" w:rsidR="00000000" w:rsidRPr="00000000">
        <w:rPr>
          <w:sz w:val="24"/>
          <w:szCs w:val="24"/>
          <w:rtl w:val="0"/>
        </w:rPr>
        <w:t xml:space="preserve"> — many toolkits are English or main EU languages; minority language and pictorial resources are limited.</w:t>
      </w:r>
      <w:hyperlink r:id="rId26">
        <w:r w:rsidDel="00000000" w:rsidR="00000000" w:rsidRPr="00000000">
          <w:rPr>
            <w:sz w:val="24"/>
            <w:szCs w:val="24"/>
            <w:rtl w:val="0"/>
          </w:rPr>
          <w:t xml:space="preserve"> </w:t>
        </w:r>
      </w:hyperlink>
      <w:hyperlink r:id="rId27">
        <w:r w:rsidDel="00000000" w:rsidR="00000000" w:rsidRPr="00000000">
          <w:rPr>
            <w:color w:val="1155cc"/>
            <w:sz w:val="24"/>
            <w:szCs w:val="24"/>
            <w:u w:val="single"/>
            <w:rtl w:val="0"/>
          </w:rPr>
          <w:t xml:space="preserve">Erasmus+</w:t>
          <w:br w:type="textWrapping"/>
        </w:r>
      </w:hyperlink>
      <w:r w:rsidDel="00000000" w:rsidR="00000000" w:rsidRPr="00000000">
        <w:rPr>
          <w:rtl w:val="0"/>
        </w:rPr>
      </w:r>
    </w:p>
    <w:p w:rsidR="00000000" w:rsidDel="00000000" w:rsidP="00000000" w:rsidRDefault="00000000" w:rsidRPr="00000000" w14:paraId="00000037">
      <w:pPr>
        <w:numPr>
          <w:ilvl w:val="0"/>
          <w:numId w:val="2"/>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Evaluation frameworks for learning outcomes in digital safety</w:t>
      </w:r>
      <w:r w:rsidDel="00000000" w:rsidR="00000000" w:rsidRPr="00000000">
        <w:rPr>
          <w:sz w:val="24"/>
          <w:szCs w:val="24"/>
          <w:rtl w:val="0"/>
        </w:rPr>
        <w:t xml:space="preserve"> — projects report activities but often lack robust, transferable evaluation tools to measure behaviour change.</w:t>
      </w:r>
      <w:hyperlink r:id="rId28">
        <w:r w:rsidDel="00000000" w:rsidR="00000000" w:rsidRPr="00000000">
          <w:rPr>
            <w:sz w:val="24"/>
            <w:szCs w:val="24"/>
            <w:rtl w:val="0"/>
          </w:rPr>
          <w:t xml:space="preserve"> </w:t>
        </w:r>
      </w:hyperlink>
      <w:hyperlink r:id="rId29">
        <w:r w:rsidDel="00000000" w:rsidR="00000000" w:rsidRPr="00000000">
          <w:rPr>
            <w:color w:val="1155cc"/>
            <w:sz w:val="24"/>
            <w:szCs w:val="24"/>
            <w:u w:val="single"/>
            <w:rtl w:val="0"/>
          </w:rPr>
          <w:t xml:space="preserve">Salto-YOUTH</w:t>
          <w:br w:type="textWrapping"/>
        </w:r>
      </w:hyperlink>
      <w:r w:rsidDel="00000000" w:rsidR="00000000" w:rsidRPr="00000000">
        <w:rPr>
          <w:rtl w:val="0"/>
        </w:rPr>
      </w:r>
    </w:p>
    <w:p w:rsidR="00000000" w:rsidDel="00000000" w:rsidP="00000000" w:rsidRDefault="00000000" w:rsidRPr="00000000" w14:paraId="00000038">
      <w:pPr>
        <w:numPr>
          <w:ilvl w:val="0"/>
          <w:numId w:val="2"/>
        </w:numPr>
        <w:spacing w:after="240" w:before="0" w:beforeAutospacing="0" w:lineRule="auto"/>
        <w:ind w:left="720" w:hanging="360"/>
        <w:rPr>
          <w:sz w:val="24"/>
          <w:szCs w:val="24"/>
        </w:rPr>
      </w:pPr>
      <w:r w:rsidDel="00000000" w:rsidR="00000000" w:rsidRPr="00000000">
        <w:rPr>
          <w:b w:val="1"/>
          <w:bCs w:val="1"/>
          <w:sz w:val="24"/>
          <w:szCs w:val="24"/>
          <w:rtl w:val="0"/>
        </w:rPr>
        <w:t xml:space="preserve">Intersectional tailoring (neurodiversity, refugee youth, low-digital-access contexts)</w:t>
      </w:r>
      <w:r w:rsidDel="00000000" w:rsidR="00000000" w:rsidRPr="00000000">
        <w:rPr>
          <w:sz w:val="24"/>
          <w:szCs w:val="24"/>
          <w:rtl w:val="0"/>
        </w:rPr>
        <w:t xml:space="preserve"> — guidance is general; few modules designed explicitly for these groups.</w:t>
      </w:r>
      <w:hyperlink r:id="rId30">
        <w:r w:rsidDel="00000000" w:rsidR="00000000" w:rsidRPr="00000000">
          <w:rPr>
            <w:sz w:val="24"/>
            <w:szCs w:val="24"/>
            <w:rtl w:val="0"/>
          </w:rPr>
          <w:t xml:space="preserve"> </w:t>
        </w:r>
      </w:hyperlink>
      <w:hyperlink r:id="rId31">
        <w:r w:rsidDel="00000000" w:rsidR="00000000" w:rsidRPr="00000000">
          <w:rPr>
            <w:color w:val="1155cc"/>
            <w:sz w:val="24"/>
            <w:szCs w:val="24"/>
            <w:u w:val="single"/>
            <w:rtl w:val="0"/>
          </w:rPr>
          <w:t xml:space="preserve">campus.copernicusberlin.org+1</w:t>
          <w:br w:type="textWrapping"/>
        </w:r>
      </w:hyperlink>
      <w:r w:rsidDel="00000000" w:rsidR="00000000" w:rsidRPr="00000000">
        <w:rPr>
          <w:rtl w:val="0"/>
        </w:rPr>
      </w:r>
    </w:p>
    <w:p w:rsidR="00000000" w:rsidDel="00000000" w:rsidP="00000000" w:rsidRDefault="00000000" w:rsidRPr="00000000" w14:paraId="00000039">
      <w:pPr>
        <w:pStyle w:val="Heading1"/>
        <w:keepNext w:val="0"/>
        <w:keepLines w:val="0"/>
        <w:spacing w:before="480" w:lineRule="auto"/>
        <w:rPr>
          <w:b w:val="1"/>
          <w:bCs w:val="1"/>
          <w:sz w:val="24"/>
          <w:szCs w:val="24"/>
        </w:rPr>
      </w:pPr>
      <w:bookmarkStart w:colFirst="0" w:colLast="0" w:name="_g2lnrs8jeghz" w:id="3"/>
      <w:bookmarkEnd w:id="3"/>
      <w:r w:rsidDel="00000000" w:rsidR="00000000" w:rsidRPr="00000000">
        <w:rPr>
          <w:b w:val="1"/>
          <w:bCs w:val="1"/>
          <w:sz w:val="24"/>
          <w:szCs w:val="24"/>
          <w:rtl w:val="0"/>
        </w:rPr>
        <w:t xml:space="preserve">Practical recommendations: adapting &amp; filling gaps (ready to use)</w:t>
      </w:r>
    </w:p>
    <w:p w:rsidR="00000000" w:rsidDel="00000000" w:rsidP="00000000" w:rsidRDefault="00000000" w:rsidRPr="00000000" w14:paraId="0000003A">
      <w:pPr>
        <w:spacing w:after="240" w:before="240" w:lineRule="auto"/>
        <w:rPr>
          <w:sz w:val="24"/>
          <w:szCs w:val="24"/>
        </w:rPr>
      </w:pPr>
      <w:r w:rsidDel="00000000" w:rsidR="00000000" w:rsidRPr="00000000">
        <w:rPr>
          <w:sz w:val="24"/>
          <w:szCs w:val="24"/>
          <w:rtl w:val="0"/>
        </w:rPr>
        <w:t xml:space="preserve">Below are concise, actionable ways to adapt existing Erasmus+/EU methods for diverse youth groups.</w:t>
      </w:r>
    </w:p>
    <w:p w:rsidR="00000000" w:rsidDel="00000000" w:rsidP="00000000" w:rsidRDefault="00000000" w:rsidRPr="00000000" w14:paraId="0000003B">
      <w:pPr>
        <w:pStyle w:val="Heading2"/>
        <w:keepNext w:val="0"/>
        <w:keepLines w:val="0"/>
        <w:spacing w:after="80" w:lineRule="auto"/>
        <w:rPr>
          <w:b w:val="1"/>
          <w:bCs w:val="1"/>
          <w:sz w:val="24"/>
          <w:szCs w:val="24"/>
        </w:rPr>
      </w:pPr>
      <w:bookmarkStart w:colFirst="0" w:colLast="0" w:name="_26so95vxr0ob" w:id="4"/>
      <w:bookmarkEnd w:id="4"/>
      <w:r w:rsidDel="00000000" w:rsidR="00000000" w:rsidRPr="00000000">
        <w:rPr>
          <w:b w:val="1"/>
          <w:bCs w:val="1"/>
          <w:sz w:val="24"/>
          <w:szCs w:val="24"/>
          <w:rtl w:val="0"/>
        </w:rPr>
        <w:t xml:space="preserve">For AI recognition (practical workshop recipe)</w:t>
      </w:r>
    </w:p>
    <w:p w:rsidR="00000000" w:rsidDel="00000000" w:rsidP="00000000" w:rsidRDefault="00000000" w:rsidRPr="00000000" w14:paraId="0000003C">
      <w:pPr>
        <w:numPr>
          <w:ilvl w:val="0"/>
          <w:numId w:val="4"/>
        </w:numPr>
        <w:spacing w:after="240" w:before="240" w:lineRule="auto"/>
        <w:ind w:left="720" w:hanging="360"/>
        <w:rPr>
          <w:sz w:val="24"/>
          <w:szCs w:val="24"/>
        </w:rPr>
      </w:pPr>
      <w:r w:rsidDel="00000000" w:rsidR="00000000" w:rsidRPr="00000000">
        <w:rPr>
          <w:b w:val="1"/>
          <w:bCs w:val="1"/>
          <w:sz w:val="24"/>
          <w:szCs w:val="24"/>
          <w:rtl w:val="0"/>
        </w:rPr>
        <w:t xml:space="preserve">30–40 min “AI Detective” session</w:t>
      </w:r>
      <w:r w:rsidDel="00000000" w:rsidR="00000000" w:rsidRPr="00000000">
        <w:rPr>
          <w:sz w:val="24"/>
          <w:szCs w:val="24"/>
          <w:rtl w:val="0"/>
        </w:rPr>
        <w:t xml:space="preserve"> (non-formal): present </w:t>
      </w:r>
      <w:r w:rsidDel="00000000" w:rsidR="00000000" w:rsidRPr="00000000">
        <w:rPr>
          <w:i w:val="1"/>
          <w:iCs w:val="1"/>
          <w:sz w:val="24"/>
          <w:szCs w:val="24"/>
          <w:rtl w:val="0"/>
        </w:rPr>
        <w:t xml:space="preserve">3 short text/image/video examples</w:t>
      </w:r>
      <w:r w:rsidDel="00000000" w:rsidR="00000000" w:rsidRPr="00000000">
        <w:rPr>
          <w:sz w:val="24"/>
          <w:szCs w:val="24"/>
          <w:rtl w:val="0"/>
        </w:rPr>
        <w:t xml:space="preserve"> (human, AI, mixed). Let small groups list 5 clues that suggest an AI origin (incoherent detail, metadata mismatch, watermark artefacts, repetition, uncanny faces). Finish with checklist and a short digital-forensics demo (show reverse-image search + metadata basics).</w:t>
        <w:br w:type="textWrapping"/>
        <w:t xml:space="preserve"> </w:t>
      </w:r>
      <w:r w:rsidDel="00000000" w:rsidR="00000000" w:rsidRPr="00000000">
        <w:rPr>
          <w:i w:val="1"/>
          <w:iCs w:val="1"/>
          <w:sz w:val="24"/>
          <w:szCs w:val="24"/>
          <w:rtl w:val="0"/>
        </w:rPr>
        <w:t xml:space="preserve">Tie to SALTO framing and BIK youth discussion points.</w:t>
      </w:r>
      <w:hyperlink r:id="rId32">
        <w:r w:rsidDel="00000000" w:rsidR="00000000" w:rsidRPr="00000000">
          <w:rPr>
            <w:sz w:val="24"/>
            <w:szCs w:val="24"/>
            <w:rtl w:val="0"/>
          </w:rPr>
          <w:t xml:space="preserve"> </w:t>
        </w:r>
      </w:hyperlink>
      <w:hyperlink r:id="rId33">
        <w:r w:rsidDel="00000000" w:rsidR="00000000" w:rsidRPr="00000000">
          <w:rPr>
            <w:color w:val="1155cc"/>
            <w:sz w:val="24"/>
            <w:szCs w:val="24"/>
            <w:u w:val="single"/>
            <w:rtl w:val="0"/>
          </w:rPr>
          <w:t xml:space="preserve">Salto-YOUTH+1</w:t>
          <w:br w:type="textWrapping"/>
        </w:r>
      </w:hyperlink>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24"/>
          <w:szCs w:val="24"/>
        </w:rPr>
      </w:pPr>
      <w:bookmarkStart w:colFirst="0" w:colLast="0" w:name="_fhuvy12aov7d" w:id="5"/>
      <w:bookmarkEnd w:id="5"/>
      <w:r w:rsidDel="00000000" w:rsidR="00000000" w:rsidRPr="00000000">
        <w:rPr>
          <w:b w:val="1"/>
          <w:bCs w:val="1"/>
          <w:sz w:val="24"/>
          <w:szCs w:val="24"/>
          <w:rtl w:val="0"/>
        </w:rPr>
        <w:t xml:space="preserve">For phishing recognition (low-barrier, high engagement)</w:t>
      </w:r>
    </w:p>
    <w:p w:rsidR="00000000" w:rsidDel="00000000" w:rsidP="00000000" w:rsidRDefault="00000000" w:rsidRPr="00000000" w14:paraId="0000003E">
      <w:pPr>
        <w:numPr>
          <w:ilvl w:val="0"/>
          <w:numId w:val="8"/>
        </w:numPr>
        <w:spacing w:after="240" w:before="240" w:lineRule="auto"/>
        <w:ind w:left="720" w:hanging="360"/>
        <w:rPr>
          <w:sz w:val="24"/>
          <w:szCs w:val="24"/>
        </w:rPr>
      </w:pPr>
      <w:r w:rsidDel="00000000" w:rsidR="00000000" w:rsidRPr="00000000">
        <w:rPr>
          <w:b w:val="1"/>
          <w:bCs w:val="1"/>
          <w:sz w:val="24"/>
          <w:szCs w:val="24"/>
          <w:rtl w:val="0"/>
        </w:rPr>
        <w:t xml:space="preserve">Phishing roleplay + “Spot the Phish” card game</w:t>
      </w:r>
      <w:r w:rsidDel="00000000" w:rsidR="00000000" w:rsidRPr="00000000">
        <w:rPr>
          <w:sz w:val="24"/>
          <w:szCs w:val="24"/>
          <w:rtl w:val="0"/>
        </w:rPr>
        <w:t xml:space="preserve">: create cards with real-looking vs fake messages; groups compete to justify choices (social engineering, link mismatch, urgent language). Add </w:t>
      </w:r>
      <w:r w:rsidDel="00000000" w:rsidR="00000000" w:rsidRPr="00000000">
        <w:rPr>
          <w:i w:val="1"/>
          <w:iCs w:val="1"/>
          <w:sz w:val="24"/>
          <w:szCs w:val="24"/>
          <w:rtl w:val="0"/>
        </w:rPr>
        <w:t xml:space="preserve">localized examples</w:t>
      </w:r>
      <w:r w:rsidDel="00000000" w:rsidR="00000000" w:rsidRPr="00000000">
        <w:rPr>
          <w:sz w:val="24"/>
          <w:szCs w:val="24"/>
          <w:rtl w:val="0"/>
        </w:rPr>
        <w:t xml:space="preserve"> (mock mail from local bank in local language). Use phishing templates from Erasmus+ project outputs as basis.</w:t>
      </w:r>
      <w:hyperlink r:id="rId34">
        <w:r w:rsidDel="00000000" w:rsidR="00000000" w:rsidRPr="00000000">
          <w:rPr>
            <w:sz w:val="24"/>
            <w:szCs w:val="24"/>
            <w:rtl w:val="0"/>
          </w:rPr>
          <w:t xml:space="preserve"> </w:t>
        </w:r>
      </w:hyperlink>
      <w:hyperlink r:id="rId35">
        <w:r w:rsidDel="00000000" w:rsidR="00000000" w:rsidRPr="00000000">
          <w:rPr>
            <w:color w:val="1155cc"/>
            <w:sz w:val="24"/>
            <w:szCs w:val="24"/>
            <w:u w:val="single"/>
            <w:rtl w:val="0"/>
          </w:rPr>
          <w:t xml:space="preserve">dorea.org</w:t>
          <w:br w:type="textWrapping"/>
        </w:r>
      </w:hyperlink>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sz w:val="24"/>
          <w:szCs w:val="24"/>
        </w:rPr>
      </w:pPr>
      <w:bookmarkStart w:colFirst="0" w:colLast="0" w:name="_sh1cnb6brp6u" w:id="6"/>
      <w:bookmarkEnd w:id="6"/>
      <w:r w:rsidDel="00000000" w:rsidR="00000000" w:rsidRPr="00000000">
        <w:rPr>
          <w:b w:val="1"/>
          <w:bCs w:val="1"/>
          <w:sz w:val="24"/>
          <w:szCs w:val="24"/>
          <w:rtl w:val="0"/>
        </w:rPr>
        <w:t xml:space="preserve">For low-literacy &amp; minority languages</w:t>
      </w:r>
    </w:p>
    <w:p w:rsidR="00000000" w:rsidDel="00000000" w:rsidP="00000000" w:rsidRDefault="00000000" w:rsidRPr="00000000" w14:paraId="00000040">
      <w:pPr>
        <w:numPr>
          <w:ilvl w:val="0"/>
          <w:numId w:val="7"/>
        </w:numPr>
        <w:spacing w:after="240" w:before="240" w:lineRule="auto"/>
        <w:ind w:left="720" w:hanging="360"/>
        <w:rPr>
          <w:sz w:val="24"/>
          <w:szCs w:val="24"/>
        </w:rPr>
      </w:pPr>
      <w:r w:rsidDel="00000000" w:rsidR="00000000" w:rsidRPr="00000000">
        <w:rPr>
          <w:sz w:val="24"/>
          <w:szCs w:val="24"/>
          <w:rtl w:val="0"/>
        </w:rPr>
        <w:t xml:space="preserve">Convert checklists into </w:t>
      </w:r>
      <w:r w:rsidDel="00000000" w:rsidR="00000000" w:rsidRPr="00000000">
        <w:rPr>
          <w:b w:val="1"/>
          <w:bCs w:val="1"/>
          <w:sz w:val="24"/>
          <w:szCs w:val="24"/>
          <w:rtl w:val="0"/>
        </w:rPr>
        <w:t xml:space="preserve">icon-based infographics</w:t>
      </w:r>
      <w:r w:rsidDel="00000000" w:rsidR="00000000" w:rsidRPr="00000000">
        <w:rPr>
          <w:sz w:val="24"/>
          <w:szCs w:val="24"/>
          <w:rtl w:val="0"/>
        </w:rPr>
        <w:t xml:space="preserve"> and 1-minute audio vignettes. Co-create with young peer-educators from the target language group (translate + localize examples). Use Miro templates from the Erasmus+ inclusion toolkit to co-design.</w:t>
      </w:r>
      <w:hyperlink r:id="rId36">
        <w:r w:rsidDel="00000000" w:rsidR="00000000" w:rsidRPr="00000000">
          <w:rPr>
            <w:sz w:val="24"/>
            <w:szCs w:val="24"/>
            <w:rtl w:val="0"/>
          </w:rPr>
          <w:t xml:space="preserve"> </w:t>
        </w:r>
      </w:hyperlink>
      <w:hyperlink r:id="rId37">
        <w:r w:rsidDel="00000000" w:rsidR="00000000" w:rsidRPr="00000000">
          <w:rPr>
            <w:color w:val="1155cc"/>
            <w:sz w:val="24"/>
            <w:szCs w:val="24"/>
            <w:u w:val="single"/>
            <w:rtl w:val="0"/>
          </w:rPr>
          <w:t xml:space="preserve">Erasmus+</w:t>
          <w:br w:type="textWrapping"/>
        </w:r>
      </w:hyperlink>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24"/>
          <w:szCs w:val="24"/>
        </w:rPr>
      </w:pPr>
      <w:bookmarkStart w:colFirst="0" w:colLast="0" w:name="_q01v7barc0uo" w:id="7"/>
      <w:bookmarkEnd w:id="7"/>
      <w:r w:rsidDel="00000000" w:rsidR="00000000" w:rsidRPr="00000000">
        <w:rPr>
          <w:b w:val="1"/>
          <w:bCs w:val="1"/>
          <w:sz w:val="24"/>
          <w:szCs w:val="24"/>
          <w:rtl w:val="0"/>
        </w:rPr>
        <w:t xml:space="preserve">For neurodiverse learners</w:t>
      </w:r>
    </w:p>
    <w:p w:rsidR="00000000" w:rsidDel="00000000" w:rsidP="00000000" w:rsidRDefault="00000000" w:rsidRPr="00000000" w14:paraId="00000042">
      <w:pPr>
        <w:numPr>
          <w:ilvl w:val="0"/>
          <w:numId w:val="6"/>
        </w:numPr>
        <w:spacing w:after="240" w:before="240" w:lineRule="auto"/>
        <w:ind w:left="720" w:hanging="360"/>
        <w:rPr>
          <w:sz w:val="24"/>
          <w:szCs w:val="24"/>
        </w:rPr>
      </w:pPr>
      <w:r w:rsidDel="00000000" w:rsidR="00000000" w:rsidRPr="00000000">
        <w:rPr>
          <w:sz w:val="24"/>
          <w:szCs w:val="24"/>
          <w:rtl w:val="0"/>
        </w:rPr>
        <w:t xml:space="preserve">Break activities into </w:t>
      </w:r>
      <w:r w:rsidDel="00000000" w:rsidR="00000000" w:rsidRPr="00000000">
        <w:rPr>
          <w:b w:val="1"/>
          <w:bCs w:val="1"/>
          <w:sz w:val="24"/>
          <w:szCs w:val="24"/>
          <w:rtl w:val="0"/>
        </w:rPr>
        <w:t xml:space="preserve">micro-tasks</w:t>
      </w:r>
      <w:r w:rsidDel="00000000" w:rsidR="00000000" w:rsidRPr="00000000">
        <w:rPr>
          <w:sz w:val="24"/>
          <w:szCs w:val="24"/>
          <w:rtl w:val="0"/>
        </w:rPr>
        <w:t xml:space="preserve"> (10–15 min each), provide printed scripts for roleplays, allow sensory breaks, and avoid long lecture formats. Use visual anchors and concrete checklists rather than abstract critical-thinking prompts.</w:t>
        <w:br w:type="textWrapping"/>
      </w:r>
    </w:p>
    <w:p w:rsidR="00000000" w:rsidDel="00000000" w:rsidP="00000000" w:rsidRDefault="00000000" w:rsidRPr="00000000" w14:paraId="00000043">
      <w:pPr>
        <w:pStyle w:val="Heading2"/>
        <w:keepNext w:val="0"/>
        <w:keepLines w:val="0"/>
        <w:spacing w:after="80" w:lineRule="auto"/>
        <w:rPr>
          <w:b w:val="1"/>
          <w:bCs w:val="1"/>
          <w:sz w:val="24"/>
          <w:szCs w:val="24"/>
        </w:rPr>
      </w:pPr>
      <w:bookmarkStart w:colFirst="0" w:colLast="0" w:name="_bagwdx5vmlb" w:id="8"/>
      <w:bookmarkEnd w:id="8"/>
      <w:r w:rsidDel="00000000" w:rsidR="00000000" w:rsidRPr="00000000">
        <w:rPr>
          <w:b w:val="1"/>
          <w:bCs w:val="1"/>
          <w:sz w:val="24"/>
          <w:szCs w:val="24"/>
          <w:rtl w:val="0"/>
        </w:rPr>
        <w:t xml:space="preserve">Evaluation (simple, transferable)</w:t>
      </w:r>
    </w:p>
    <w:p w:rsidR="00000000" w:rsidDel="00000000" w:rsidP="00000000" w:rsidRDefault="00000000" w:rsidRPr="00000000" w14:paraId="00000044">
      <w:pPr>
        <w:numPr>
          <w:ilvl w:val="0"/>
          <w:numId w:val="3"/>
        </w:numPr>
        <w:spacing w:after="240" w:before="240" w:lineRule="auto"/>
        <w:ind w:left="720" w:hanging="360"/>
        <w:rPr>
          <w:sz w:val="24"/>
          <w:szCs w:val="24"/>
        </w:rPr>
      </w:pPr>
      <w:r w:rsidDel="00000000" w:rsidR="00000000" w:rsidRPr="00000000">
        <w:rPr>
          <w:sz w:val="24"/>
          <w:szCs w:val="24"/>
          <w:rtl w:val="0"/>
        </w:rPr>
        <w:t xml:space="preserve">Use a </w:t>
      </w:r>
      <w:r w:rsidDel="00000000" w:rsidR="00000000" w:rsidRPr="00000000">
        <w:rPr>
          <w:b w:val="1"/>
          <w:bCs w:val="1"/>
          <w:sz w:val="24"/>
          <w:szCs w:val="24"/>
          <w:rtl w:val="0"/>
        </w:rPr>
        <w:t xml:space="preserve">pre/post micro survey</w:t>
      </w:r>
      <w:r w:rsidDel="00000000" w:rsidR="00000000" w:rsidRPr="00000000">
        <w:rPr>
          <w:sz w:val="24"/>
          <w:szCs w:val="24"/>
          <w:rtl w:val="0"/>
        </w:rPr>
        <w:t xml:space="preserve"> (3 questions): 1) confidence spotting scams (1–5), 2) ability to check source (yes/no), 3) one concrete action they will take. Add a 2-week follow-up SMS or short form for behaviour check. Base items on SALTO toolkit suggestions.</w:t>
      </w:r>
      <w:hyperlink r:id="rId38">
        <w:r w:rsidDel="00000000" w:rsidR="00000000" w:rsidRPr="00000000">
          <w:rPr>
            <w:sz w:val="24"/>
            <w:szCs w:val="24"/>
            <w:rtl w:val="0"/>
          </w:rPr>
          <w:t xml:space="preserve"> </w:t>
        </w:r>
      </w:hyperlink>
      <w:hyperlink r:id="rId39">
        <w:r w:rsidDel="00000000" w:rsidR="00000000" w:rsidRPr="00000000">
          <w:rPr>
            <w:color w:val="1155cc"/>
            <w:sz w:val="24"/>
            <w:szCs w:val="24"/>
            <w:u w:val="single"/>
            <w:rtl w:val="0"/>
          </w:rPr>
          <w:t xml:space="preserve">Salto-YOUTH</w:t>
          <w:br w:type="textWrapping"/>
        </w:r>
      </w:hyperlink>
      <w:r w:rsidDel="00000000" w:rsidR="00000000" w:rsidRPr="00000000">
        <w:rPr>
          <w:rtl w:val="0"/>
        </w:rPr>
      </w:r>
    </w:p>
    <w:p w:rsidR="00000000" w:rsidDel="00000000" w:rsidP="00000000" w:rsidRDefault="00000000" w:rsidRPr="00000000" w14:paraId="00000045">
      <w:pPr>
        <w:pStyle w:val="Heading1"/>
        <w:keepNext w:val="0"/>
        <w:keepLines w:val="0"/>
        <w:spacing w:before="480" w:lineRule="auto"/>
        <w:rPr>
          <w:b w:val="1"/>
          <w:bCs w:val="1"/>
          <w:sz w:val="24"/>
          <w:szCs w:val="24"/>
        </w:rPr>
      </w:pPr>
      <w:bookmarkStart w:colFirst="0" w:colLast="0" w:name="_u7ir4npfoqyh" w:id="9"/>
      <w:bookmarkEnd w:id="9"/>
      <w:r w:rsidDel="00000000" w:rsidR="00000000" w:rsidRPr="00000000">
        <w:rPr>
          <w:b w:val="1"/>
          <w:bCs w:val="1"/>
          <w:sz w:val="24"/>
          <w:szCs w:val="24"/>
          <w:rtl w:val="0"/>
        </w:rPr>
        <w:t xml:space="preserve">S</w:t>
      </w:r>
      <w:r w:rsidDel="00000000" w:rsidR="00000000" w:rsidRPr="00000000">
        <w:rPr>
          <w:b w:val="1"/>
          <w:bCs w:val="1"/>
          <w:sz w:val="24"/>
          <w:szCs w:val="24"/>
          <w:rtl w:val="0"/>
        </w:rPr>
        <w:t xml:space="preserve">ources used (select anchors)</w:t>
      </w:r>
    </w:p>
    <w:p w:rsidR="00000000" w:rsidDel="00000000" w:rsidP="00000000" w:rsidRDefault="00000000" w:rsidRPr="00000000" w14:paraId="00000046">
      <w:pPr>
        <w:numPr>
          <w:ilvl w:val="0"/>
          <w:numId w:val="5"/>
        </w:numPr>
        <w:spacing w:after="0" w:afterAutospacing="0" w:before="240" w:lineRule="auto"/>
        <w:ind w:left="720" w:hanging="360"/>
        <w:rPr>
          <w:sz w:val="24"/>
          <w:szCs w:val="24"/>
        </w:rPr>
      </w:pPr>
      <w:r w:rsidDel="00000000" w:rsidR="00000000" w:rsidRPr="00000000">
        <w:rPr>
          <w:sz w:val="24"/>
          <w:szCs w:val="24"/>
          <w:rtl w:val="0"/>
        </w:rPr>
        <w:t xml:space="preserve">SALTO — </w:t>
      </w:r>
      <w:r w:rsidDel="00000000" w:rsidR="00000000" w:rsidRPr="00000000">
        <w:rPr>
          <w:i w:val="1"/>
          <w:iCs w:val="1"/>
          <w:sz w:val="24"/>
          <w:szCs w:val="24"/>
          <w:rtl w:val="0"/>
        </w:rPr>
        <w:t xml:space="preserve">The digital security toolkit: a practical guide for safer online engagement.</w:t>
        <w:br w:type="textWrapping"/>
      </w:r>
    </w:p>
    <w:p w:rsidR="00000000" w:rsidDel="00000000" w:rsidP="00000000" w:rsidRDefault="00000000" w:rsidRPr="00000000" w14:paraId="00000047">
      <w:pPr>
        <w:numPr>
          <w:ilvl w:val="0"/>
          <w:numId w:val="5"/>
        </w:numPr>
        <w:spacing w:after="0" w:afterAutospacing="0" w:before="0" w:beforeAutospacing="0" w:lineRule="auto"/>
        <w:ind w:left="720" w:hanging="360"/>
        <w:rPr>
          <w:sz w:val="24"/>
          <w:szCs w:val="24"/>
        </w:rPr>
      </w:pPr>
      <w:r w:rsidDel="00000000" w:rsidR="00000000" w:rsidRPr="00000000">
        <w:rPr>
          <w:sz w:val="24"/>
          <w:szCs w:val="24"/>
          <w:rtl w:val="0"/>
        </w:rPr>
        <w:t xml:space="preserve">Better Internet for Kids (BIK+) portal.</w:t>
        <w:br w:type="textWrapping"/>
      </w:r>
    </w:p>
    <w:p w:rsidR="00000000" w:rsidDel="00000000" w:rsidP="00000000" w:rsidRDefault="00000000" w:rsidRPr="00000000" w14:paraId="00000048">
      <w:pPr>
        <w:numPr>
          <w:ilvl w:val="0"/>
          <w:numId w:val="5"/>
        </w:numPr>
        <w:spacing w:after="0" w:afterAutospacing="0" w:before="0" w:beforeAutospacing="0" w:lineRule="auto"/>
        <w:ind w:left="720" w:hanging="360"/>
        <w:rPr>
          <w:sz w:val="24"/>
          <w:szCs w:val="24"/>
        </w:rPr>
      </w:pPr>
      <w:r w:rsidDel="00000000" w:rsidR="00000000" w:rsidRPr="00000000">
        <w:rPr>
          <w:sz w:val="24"/>
          <w:szCs w:val="24"/>
          <w:rtl w:val="0"/>
        </w:rPr>
        <w:t xml:space="preserve">Safer Internet Centre — teaching &amp; Safer Internet Day resources.</w:t>
        <w:br w:type="textWrapping"/>
      </w:r>
    </w:p>
    <w:p w:rsidR="00000000" w:rsidDel="00000000" w:rsidP="00000000" w:rsidRDefault="00000000" w:rsidRPr="00000000" w14:paraId="00000049">
      <w:pPr>
        <w:numPr>
          <w:ilvl w:val="0"/>
          <w:numId w:val="5"/>
        </w:numPr>
        <w:spacing w:after="240" w:before="0" w:beforeAutospacing="0" w:lineRule="auto"/>
        <w:ind w:left="720" w:hanging="360"/>
        <w:rPr>
          <w:sz w:val="24"/>
          <w:szCs w:val="24"/>
        </w:rPr>
      </w:pPr>
      <w:r w:rsidDel="00000000" w:rsidR="00000000" w:rsidRPr="00000000">
        <w:rPr>
          <w:sz w:val="24"/>
          <w:szCs w:val="24"/>
          <w:rtl w:val="0"/>
        </w:rPr>
        <w:t xml:space="preserve">Erasmus+ project pages &amp; toolkits: </w:t>
      </w:r>
      <w:r w:rsidDel="00000000" w:rsidR="00000000" w:rsidRPr="00000000">
        <w:rPr>
          <w:i w:val="1"/>
          <w:iCs w:val="1"/>
          <w:sz w:val="24"/>
          <w:szCs w:val="24"/>
          <w:rtl w:val="0"/>
        </w:rPr>
        <w:t xml:space="preserve">Prevention of Youth Risky Viral Trends</w:t>
      </w:r>
      <w:r w:rsidDel="00000000" w:rsidR="00000000" w:rsidRPr="00000000">
        <w:rPr>
          <w:sz w:val="24"/>
          <w:szCs w:val="24"/>
          <w:rtl w:val="0"/>
        </w:rPr>
        <w:t xml:space="preserve">; </w:t>
      </w:r>
      <w:r w:rsidDel="00000000" w:rsidR="00000000" w:rsidRPr="00000000">
        <w:rPr>
          <w:i w:val="1"/>
          <w:iCs w:val="1"/>
          <w:sz w:val="24"/>
          <w:szCs w:val="24"/>
          <w:rtl w:val="0"/>
        </w:rPr>
        <w:t xml:space="preserve">Safeguarding against Phishing</w:t>
      </w:r>
      <w:r w:rsidDel="00000000" w:rsidR="00000000" w:rsidRPr="00000000">
        <w:rPr>
          <w:sz w:val="24"/>
          <w:szCs w:val="24"/>
          <w:rtl w:val="0"/>
        </w:rPr>
        <w:t xml:space="preserve">; Erasmus+ inclusive participation toolkit (PDF).</w:t>
      </w:r>
    </w:p>
    <w:p w:rsidR="00000000" w:rsidDel="00000000" w:rsidP="00000000" w:rsidRDefault="00000000" w:rsidRPr="00000000" w14:paraId="0000004A">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erasmusplus.nl/sites/default/files/2024-11/Toolkit%20Inclusive%20Youth%20Participation%20-%20ENG.pdf?utm_source=chatgpt.com" TargetMode="External"/><Relationship Id="rId22" Type="http://schemas.openxmlformats.org/officeDocument/2006/relationships/hyperlink" Target="https://pjp-eu.coe.int/en/web/youth-partnership/digitalisation-ans-ai-resources?utm_source=chatgpt.com" TargetMode="External"/><Relationship Id="rId21" Type="http://schemas.openxmlformats.org/officeDocument/2006/relationships/hyperlink" Target="https://www.erasmusplus.nl/sites/default/files/2024-11/Toolkit%20Inclusive%20Youth%20Participation%20-%20ENG.pdf?utm_source=chatgpt.com" TargetMode="External"/><Relationship Id="rId24" Type="http://schemas.openxmlformats.org/officeDocument/2006/relationships/hyperlink" Target="https://dorea.org/dorea-erasmus-projects/safeguarding-against-phishing/?utm_source=chatgpt.com" TargetMode="External"/><Relationship Id="rId23" Type="http://schemas.openxmlformats.org/officeDocument/2006/relationships/hyperlink" Target="https://pjp-eu.coe.int/en/web/youth-partnership/digitalisation-ans-ai-resources?utm_source=chatgpt.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etter-internet-for-kids.europa.eu/en?utm_source=chatgpt.com" TargetMode="External"/><Relationship Id="rId26" Type="http://schemas.openxmlformats.org/officeDocument/2006/relationships/hyperlink" Target="https://www.erasmusplus.nl/sites/default/files/2024-11/Toolkit%20Inclusive%20Youth%20Participation%20-%20ENG.pdf?utm_source=chatgpt.com" TargetMode="External"/><Relationship Id="rId25" Type="http://schemas.openxmlformats.org/officeDocument/2006/relationships/hyperlink" Target="https://dorea.org/dorea-erasmus-projects/safeguarding-against-phishing/?utm_source=chatgpt.com" TargetMode="External"/><Relationship Id="rId28" Type="http://schemas.openxmlformats.org/officeDocument/2006/relationships/hyperlink" Target="https://www.salto-youth.net/tools/toolbox/tool/the-digital-security-toolkit-a-practical-guide-for-safer-online-engagement.4671/?utm_source=chatgpt.com" TargetMode="External"/><Relationship Id="rId27" Type="http://schemas.openxmlformats.org/officeDocument/2006/relationships/hyperlink" Target="https://www.erasmusplus.nl/sites/default/files/2024-11/Toolkit%20Inclusive%20Youth%20Participation%20-%20ENG.pdf?utm_source=chatgpt.com" TargetMode="External"/><Relationship Id="rId5" Type="http://schemas.openxmlformats.org/officeDocument/2006/relationships/styles" Target="styles.xml"/><Relationship Id="rId6" Type="http://schemas.openxmlformats.org/officeDocument/2006/relationships/hyperlink" Target="https://www.salto-youth.net/tools/toolbox/tool/the-digital-security-toolkit-a-practical-guide-for-safer-online-engagement.4671/?utm_source=chatgpt.com" TargetMode="External"/><Relationship Id="rId29" Type="http://schemas.openxmlformats.org/officeDocument/2006/relationships/hyperlink" Target="https://www.salto-youth.net/tools/toolbox/tool/the-digital-security-toolkit-a-practical-guide-for-safer-online-engagement.4671/?utm_source=chatgpt.com" TargetMode="External"/><Relationship Id="rId7" Type="http://schemas.openxmlformats.org/officeDocument/2006/relationships/hyperlink" Target="https://www.salto-youth.net/tools/toolbox/tool/the-digital-security-toolkit-a-practical-guide-for-safer-online-engagement.4671/?utm_source=chatgpt.com" TargetMode="External"/><Relationship Id="rId8" Type="http://schemas.openxmlformats.org/officeDocument/2006/relationships/hyperlink" Target="https://better-internet-for-kids.europa.eu/en?utm_source=chatgpt.com" TargetMode="External"/><Relationship Id="rId31" Type="http://schemas.openxmlformats.org/officeDocument/2006/relationships/hyperlink" Target="https://campus.copernicusberlin.org/protected-media/toolkits/Toolkit-Benalmadena_TvYKALn.pdf?utm_source=chatgpt.com" TargetMode="External"/><Relationship Id="rId30" Type="http://schemas.openxmlformats.org/officeDocument/2006/relationships/hyperlink" Target="https://campus.copernicusberlin.org/protected-media/toolkits/Toolkit-Benalmadena_TvYKALn.pdf?utm_source=chatgpt.com" TargetMode="External"/><Relationship Id="rId11" Type="http://schemas.openxmlformats.org/officeDocument/2006/relationships/hyperlink" Target="https://dorea.org/dorea-erasmus-projects/safeguarding-against-phishing/?utm_source=chatgpt.com" TargetMode="External"/><Relationship Id="rId33" Type="http://schemas.openxmlformats.org/officeDocument/2006/relationships/hyperlink" Target="https://www.salto-youth.net/tools/toolbox/tool/the-digital-security-toolkit-a-practical-guide-for-safer-online-engagement.4671/?utm_source=chatgpt.com" TargetMode="External"/><Relationship Id="rId10" Type="http://schemas.openxmlformats.org/officeDocument/2006/relationships/hyperlink" Target="https://dorea.org/dorea-erasmus-projects/safeguarding-against-phishing/?utm_source=chatgpt.com" TargetMode="External"/><Relationship Id="rId32" Type="http://schemas.openxmlformats.org/officeDocument/2006/relationships/hyperlink" Target="https://www.salto-youth.net/tools/toolbox/tool/the-digital-security-toolkit-a-practical-guide-for-safer-online-engagement.4671/?utm_source=chatgpt.com" TargetMode="External"/><Relationship Id="rId13" Type="http://schemas.openxmlformats.org/officeDocument/2006/relationships/hyperlink" Target="https://www.salto-youth.net/tools/toolbox/tool/the-digital-security-toolkit-a-practical-guide-for-safer-online-engagement.4671/?utm_source=chatgpt.com" TargetMode="External"/><Relationship Id="rId35" Type="http://schemas.openxmlformats.org/officeDocument/2006/relationships/hyperlink" Target="https://dorea.org/dorea-erasmus-projects/safeguarding-against-phishing/?utm_source=chatgpt.com" TargetMode="External"/><Relationship Id="rId12" Type="http://schemas.openxmlformats.org/officeDocument/2006/relationships/hyperlink" Target="https://www.salto-youth.net/tools/toolbox/tool/the-digital-security-toolkit-a-practical-guide-for-safer-online-engagement.4671/?utm_source=chatgpt.com" TargetMode="External"/><Relationship Id="rId34" Type="http://schemas.openxmlformats.org/officeDocument/2006/relationships/hyperlink" Target="https://dorea.org/dorea-erasmus-projects/safeguarding-against-phishing/?utm_source=chatgpt.com" TargetMode="External"/><Relationship Id="rId15" Type="http://schemas.openxmlformats.org/officeDocument/2006/relationships/hyperlink" Target="https://dorea.org/dorea-erasmus-projects/safeguarding-against-phishing/?utm_source=chatgpt.com" TargetMode="External"/><Relationship Id="rId37" Type="http://schemas.openxmlformats.org/officeDocument/2006/relationships/hyperlink" Target="https://www.erasmusplus.nl/sites/default/files/2024-11/Toolkit%20Inclusive%20Youth%20Participation%20-%20ENG.pdf?utm_source=chatgpt.com" TargetMode="External"/><Relationship Id="rId14" Type="http://schemas.openxmlformats.org/officeDocument/2006/relationships/hyperlink" Target="https://dorea.org/dorea-erasmus-projects/safeguarding-against-phishing/?utm_source=chatgpt.com" TargetMode="External"/><Relationship Id="rId36" Type="http://schemas.openxmlformats.org/officeDocument/2006/relationships/hyperlink" Target="https://www.erasmusplus.nl/sites/default/files/2024-11/Toolkit%20Inclusive%20Youth%20Participation%20-%20ENG.pdf?utm_source=chatgpt.com" TargetMode="External"/><Relationship Id="rId17" Type="http://schemas.openxmlformats.org/officeDocument/2006/relationships/hyperlink" Target="https://saferinternet.org.uk/safer-internet-day/safer-internet-day-2025/education-resources?utm_source=chatgpt.com" TargetMode="External"/><Relationship Id="rId39" Type="http://schemas.openxmlformats.org/officeDocument/2006/relationships/hyperlink" Target="https://www.salto-youth.net/tools/toolbox/tool/the-digital-security-toolkit-a-practical-guide-for-safer-online-engagement.4671/?utm_source=chatgpt.com" TargetMode="External"/><Relationship Id="rId16" Type="http://schemas.openxmlformats.org/officeDocument/2006/relationships/hyperlink" Target="https://saferinternet.org.uk/safer-internet-day/safer-internet-day-2025/education-resources?utm_source=chatgpt.com" TargetMode="External"/><Relationship Id="rId38" Type="http://schemas.openxmlformats.org/officeDocument/2006/relationships/hyperlink" Target="https://www.salto-youth.net/tools/toolbox/tool/the-digital-security-toolkit-a-practical-guide-for-safer-online-engagement.4671/?utm_source=chatgpt.com" TargetMode="External"/><Relationship Id="rId19" Type="http://schemas.openxmlformats.org/officeDocument/2006/relationships/hyperlink" Target="https://better-internet-for-kids.europa.eu/en?utm_source=chatgpt.com" TargetMode="External"/><Relationship Id="rId18" Type="http://schemas.openxmlformats.org/officeDocument/2006/relationships/hyperlink" Target="https://better-internet-for-kids.europa.eu/en?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