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tabs>
          <w:tab w:val="center" w:leader="none" w:pos="8460"/>
        </w:tabs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g2lnrs8jeghz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Practical recommendations: adapting &amp; filling gaps (ready to use)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Below are concise, actionable ways to adapt existing Erasmus+/EU methods for diverse youth groups.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26so95vxr0ob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AI recognition (practical workshop recipe)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30–40 min “AI Detective” session</w:t>
      </w:r>
      <w:r w:rsidDel="00000000" w:rsidR="00000000" w:rsidRPr="00000000">
        <w:rPr>
          <w:sz w:val="24"/>
          <w:szCs w:val="24"/>
          <w:rtl w:val="0"/>
        </w:rPr>
        <w:t xml:space="preserve"> (non-formal): present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3 short text/image/video examples</w:t>
      </w:r>
      <w:r w:rsidDel="00000000" w:rsidR="00000000" w:rsidRPr="00000000">
        <w:rPr>
          <w:sz w:val="24"/>
          <w:szCs w:val="24"/>
          <w:rtl w:val="0"/>
        </w:rPr>
        <w:t xml:space="preserve"> (human, AI, mixed). Let small groups list 5 clues that suggest an AI origin (incoherent detail, metadata mismatch, watermark artefacts, repetition, uncanny faces). Finish with checklist and a short digital-forensics demo (show reverse-image search + metadata basics).</w:t>
        <w:br w:type="textWrapping"/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Tie to SALTO framing and BIK youth discussion points.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Salto-YOUTH+1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fhuvy12aov7d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phishing recognition (low-barrier, high engagement)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Phishing roleplay + “Spot the Phish” card game</w:t>
      </w:r>
      <w:r w:rsidDel="00000000" w:rsidR="00000000" w:rsidRPr="00000000">
        <w:rPr>
          <w:sz w:val="24"/>
          <w:szCs w:val="24"/>
          <w:rtl w:val="0"/>
        </w:rPr>
        <w:t xml:space="preserve">: create cards with real-looking vs fake messages; groups compete to justify choices (social engineering, link mismatch, urgent language). Add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localized examples</w:t>
      </w:r>
      <w:r w:rsidDel="00000000" w:rsidR="00000000" w:rsidRPr="00000000">
        <w:rPr>
          <w:sz w:val="24"/>
          <w:szCs w:val="24"/>
          <w:rtl w:val="0"/>
        </w:rPr>
        <w:t xml:space="preserve"> (mock mail from local bank in local language). Use phishing templates from Erasmus+ project outputs as basis.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dorea.org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sh1cnb6brp6u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low-literacy &amp; minority languages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Convert checklists into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icon-based infographics</w:t>
      </w:r>
      <w:r w:rsidDel="00000000" w:rsidR="00000000" w:rsidRPr="00000000">
        <w:rPr>
          <w:sz w:val="24"/>
          <w:szCs w:val="24"/>
          <w:rtl w:val="0"/>
        </w:rPr>
        <w:t xml:space="preserve"> and 1-minute audio vignettes. Co-create with young peer-educators from the target language group (translate + localize examples). Use Miro templates from the Erasmus+ inclusion toolkit to co-design.</w:t>
      </w:r>
      <w:hyperlink r:id="rId1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Erasmus+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q01v7barc0uo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neurodiverse learners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Break activities into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micro-tasks</w:t>
      </w:r>
      <w:r w:rsidDel="00000000" w:rsidR="00000000" w:rsidRPr="00000000">
        <w:rPr>
          <w:sz w:val="24"/>
          <w:szCs w:val="24"/>
          <w:rtl w:val="0"/>
        </w:rPr>
        <w:t xml:space="preserve"> (10–15 min each), provide printed scripts for roleplays, allow sensory breaks, and avoid long lecture formats. Use visual anchors and concrete checklists rather than abstract critical-thinking prompts.</w:t>
        <w:br w:type="textWrapping"/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bagwdx5vmlb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Evaluation (simple, transferable)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pre/post micro survey</w:t>
      </w:r>
      <w:r w:rsidDel="00000000" w:rsidR="00000000" w:rsidRPr="00000000">
        <w:rPr>
          <w:sz w:val="24"/>
          <w:szCs w:val="24"/>
          <w:rtl w:val="0"/>
        </w:rPr>
        <w:t xml:space="preserve"> (3 questions): 1) confidence spotting scams (1–5), 2) ability to check source (yes/no), 3) one concrete action they will take. Add a 2-week follow-up SMS or short form for behaviour check. Base items on SALTO toolkit suggestions.</w:t>
      </w:r>
      <w:hyperlink r:id="rId12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Salto-YOUTH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u7ir4npfoqyh" w:id="6"/>
      <w:bookmarkEnd w:id="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Sources used (select anchors)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SALTO —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digital security toolkit: a practical guide for safer online engagement.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Better Internet for Kids (BIK+) portal.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Safer Internet Centre — teaching &amp; Safer Internet Day resources.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Erasmus+ project pages &amp; toolkits: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Prevention of Youth Risky Viral Trends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Safeguarding against Phishing</w:t>
      </w:r>
      <w:r w:rsidDel="00000000" w:rsidR="00000000" w:rsidRPr="00000000">
        <w:rPr>
          <w:sz w:val="24"/>
          <w:szCs w:val="24"/>
          <w:rtl w:val="0"/>
        </w:rPr>
        <w:t xml:space="preserve">; Erasmus+ inclusive participation toolkit (PDF).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erasmusplus.nl/sites/default/files/2024-11/Toolkit%20Inclusive%20Youth%20Participation%20-%20ENG.pdf?utm_source=chatgpt.com" TargetMode="External"/><Relationship Id="rId10" Type="http://schemas.openxmlformats.org/officeDocument/2006/relationships/hyperlink" Target="https://www.erasmusplus.nl/sites/default/files/2024-11/Toolkit%20Inclusive%20Youth%20Participation%20-%20ENG.pdf?utm_source=chatgpt.com" TargetMode="External"/><Relationship Id="rId13" Type="http://schemas.openxmlformats.org/officeDocument/2006/relationships/hyperlink" Target="https://www.salto-youth.net/tools/toolbox/tool/the-digital-security-toolkit-a-practical-guide-for-safer-online-engagement.4671/?utm_source=chatgpt.com" TargetMode="External"/><Relationship Id="rId12" Type="http://schemas.openxmlformats.org/officeDocument/2006/relationships/hyperlink" Target="https://www.salto-youth.net/tools/toolbox/tool/the-digital-security-toolkit-a-practical-guide-for-safer-online-engagement.4671/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rea.org/dorea-erasmus-projects/safeguarding-against-phishing/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alto-youth.net/tools/toolbox/tool/the-digital-security-toolkit-a-practical-guide-for-safer-online-engagement.4671/?utm_source=chatgpt.com" TargetMode="External"/><Relationship Id="rId7" Type="http://schemas.openxmlformats.org/officeDocument/2006/relationships/hyperlink" Target="https://www.salto-youth.net/tools/toolbox/tool/the-digital-security-toolkit-a-practical-guide-for-safer-online-engagement.4671/?utm_source=chatgpt.com" TargetMode="External"/><Relationship Id="rId8" Type="http://schemas.openxmlformats.org/officeDocument/2006/relationships/hyperlink" Target="https://dorea.org/dorea-erasmus-projects/safeguarding-against-phishing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